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13" w:rsidRPr="005A053C" w:rsidRDefault="005A053C" w:rsidP="005A053C">
      <w:pPr>
        <w:widowControl/>
        <w:shd w:val="clear" w:color="auto" w:fill="FFFFFF"/>
        <w:spacing w:line="450" w:lineRule="atLeast"/>
        <w:jc w:val="left"/>
        <w:rPr>
          <w:rFonts w:ascii="Calibri" w:eastAsia="宋体" w:hAnsi="Calibri" w:cs="宋体"/>
          <w:b/>
          <w:bCs/>
          <w:kern w:val="0"/>
          <w:sz w:val="32"/>
          <w:szCs w:val="28"/>
        </w:rPr>
      </w:pPr>
      <w:r>
        <w:rPr>
          <w:rFonts w:ascii="Calibri" w:eastAsia="宋体" w:hAnsi="Calibri" w:cs="宋体" w:hint="eastAsia"/>
          <w:b/>
          <w:bCs/>
          <w:kern w:val="0"/>
          <w:sz w:val="32"/>
          <w:szCs w:val="28"/>
        </w:rPr>
        <w:t>附件六</w:t>
      </w:r>
      <w:r w:rsidR="00FA4B25" w:rsidRPr="00FA4B25">
        <w:rPr>
          <w:rFonts w:ascii="Calibri" w:eastAsia="宋体" w:hAnsi="Calibri" w:cs="宋体" w:hint="eastAsia"/>
          <w:b/>
          <w:bCs/>
          <w:kern w:val="0"/>
          <w:sz w:val="32"/>
          <w:szCs w:val="28"/>
        </w:rPr>
        <w:t>：</w:t>
      </w:r>
      <w:r>
        <w:rPr>
          <w:rFonts w:ascii="Calibri" w:eastAsia="宋体" w:hAnsi="Calibri" w:cs="宋体" w:hint="eastAsia"/>
          <w:b/>
          <w:bCs/>
          <w:kern w:val="0"/>
          <w:sz w:val="32"/>
          <w:szCs w:val="28"/>
        </w:rPr>
        <w:t xml:space="preserve">     </w:t>
      </w:r>
      <w:r w:rsidR="00D97613" w:rsidRPr="00FA4B25">
        <w:rPr>
          <w:rFonts w:ascii="Calibri" w:eastAsia="宋体" w:hAnsi="Calibri" w:cs="宋体"/>
          <w:b/>
          <w:bCs/>
          <w:kern w:val="0"/>
          <w:sz w:val="24"/>
          <w:szCs w:val="27"/>
        </w:rPr>
        <w:t>西南交通大学博士生扬华新秀奖学金评选管理暂行办法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第一章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总则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第一条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为全面推进实施西南交通大学强校战略，吸引博士生优质生源，学校决定设立“博士生扬华新秀奖学金”（以下简</w:t>
      </w:r>
      <w:proofErr w:type="gramStart"/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称扬华</w:t>
      </w:r>
      <w:proofErr w:type="gramEnd"/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奖学金）。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第二条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扬华奖学金的奖励对象，为全日制脱产学习的优秀博士生新生，其人事档案应在规定时间内转入我校。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第三条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扬华奖学金的奖励标准，为每生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2.5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万元。扬华奖学金的评选，依照“坚持标准、宁缺毋滥”的原则进行，每年不超过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60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名。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Calibri" w:eastAsia="宋体" w:hAnsi="Calibri" w:cs="宋体"/>
          <w:kern w:val="0"/>
          <w:sz w:val="20"/>
          <w:szCs w:val="21"/>
        </w:rPr>
      </w:pPr>
      <w:r w:rsidRPr="00FA4B25">
        <w:rPr>
          <w:rFonts w:ascii="微软雅黑" w:eastAsia="微软雅黑" w:hAnsi="微软雅黑" w:cs="宋体" w:hint="eastAsia"/>
          <w:b/>
          <w:bCs/>
          <w:kern w:val="0"/>
          <w:sz w:val="22"/>
          <w:szCs w:val="24"/>
        </w:rPr>
        <w:t>第二章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微软雅黑" w:eastAsia="微软雅黑" w:hAnsi="微软雅黑" w:cs="宋体" w:hint="eastAsia"/>
          <w:b/>
          <w:bCs/>
          <w:kern w:val="0"/>
          <w:sz w:val="22"/>
          <w:szCs w:val="24"/>
        </w:rPr>
        <w:t>申请基本条件</w:t>
      </w:r>
      <w:r w:rsidRPr="00FA4B25">
        <w:rPr>
          <w:rFonts w:ascii="Calibri" w:eastAsia="宋体" w:hAnsi="Calibri" w:cs="宋体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第四条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申请人应拥护中国共产党的领导，品行端正，</w:t>
      </w:r>
      <w:bookmarkStart w:id="0" w:name="baidusnap3"/>
      <w:bookmarkEnd w:id="0"/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具有扎实的基础理论和专业知识、严谨的治学态度、良好的科学道德和创新精神、科研能力突出。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第五条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来自本校的“直博生”，在本科阶段如有高水平成果，经本学科领域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3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名专家（正高职称）联名推荐，可以申请扬华奖学金；来自其他高水平大学的“直博生”，如本科阶段的学习成绩名列所在高校所在专业前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10%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，也可以申请。“高水平大学”由各学院根据学科情况自行认定，并报研究生院综合管理办公室备案。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申请扬华奖学金的“硕博连读生”、普通博士生，应提供近三年内，本人为第一作者（或导师为第一作者、本人为第二作者）的学术成果。获得国家发明专利或省部级及以上奖励者（拥有证书），也可以申请扬华奖学金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第六条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扬华奖学金对“硕博连读生”、普通博士生参评学术成果的认定，坚持“重质量、轻数量”的原则。申请者的学术成果水平，应不低于“西南交通大学学术期刊分级原则（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A++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、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A+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、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A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、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B+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、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B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）”规定中的“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A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”级标准。具体等级标准，由各学院自行确定，并在本学院网站公示、公开。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70"/>
        <w:jc w:val="left"/>
        <w:rPr>
          <w:rFonts w:ascii="宋体" w:eastAsia="宋体" w:hAnsi="宋体" w:cs="宋体"/>
          <w:kern w:val="0"/>
          <w:sz w:val="24"/>
          <w:szCs w:val="27"/>
        </w:rPr>
      </w:pPr>
      <w:r w:rsidRPr="00FA4B25">
        <w:rPr>
          <w:rFonts w:ascii="微软雅黑" w:eastAsia="微软雅黑" w:hAnsi="微软雅黑" w:cs="宋体" w:hint="eastAsia"/>
          <w:b/>
          <w:bCs/>
          <w:kern w:val="0"/>
          <w:sz w:val="24"/>
          <w:szCs w:val="27"/>
        </w:rPr>
        <w:t>第七条</w:t>
      </w:r>
      <w:r w:rsidRPr="00FA4B25"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 xml:space="preserve">扬华奖学金和国家奖学金可以兼得，但获奖成果不能重复使用。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第八条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以下研究生不能申请扬华奖学金：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1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．在参评当年内，违反国家法律或受到校级警告及以上纪律处分者；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56"/>
        <w:rPr>
          <w:rFonts w:ascii="Calibri" w:eastAsia="宋体" w:hAnsi="Calibri" w:cs="宋体"/>
          <w:kern w:val="0"/>
          <w:sz w:val="20"/>
          <w:szCs w:val="21"/>
        </w:rPr>
      </w:pP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lastRenderedPageBreak/>
        <w:t>2</w:t>
      </w:r>
      <w:r w:rsidRPr="00FA4B25">
        <w:rPr>
          <w:rFonts w:ascii="宋体" w:eastAsia="宋体" w:hAnsi="宋体" w:cs="宋体" w:hint="eastAsia"/>
          <w:kern w:val="0"/>
          <w:sz w:val="22"/>
          <w:szCs w:val="24"/>
        </w:rPr>
        <w:t>．违反学术道德规范的相关规定，存在学术失范行为者；</w:t>
      </w:r>
      <w:r w:rsidRPr="00FA4B25">
        <w:rPr>
          <w:rFonts w:ascii="Calibri" w:eastAsia="宋体" w:hAnsi="Calibri" w:cs="宋体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56"/>
        <w:rPr>
          <w:rFonts w:ascii="Calibri" w:eastAsia="宋体" w:hAnsi="Calibri" w:cs="宋体"/>
          <w:kern w:val="0"/>
          <w:sz w:val="20"/>
          <w:szCs w:val="21"/>
        </w:rPr>
      </w:pP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3</w:t>
      </w:r>
      <w:r w:rsidRPr="00FA4B25">
        <w:rPr>
          <w:rFonts w:ascii="宋体" w:eastAsia="宋体" w:hAnsi="宋体" w:cs="宋体" w:hint="eastAsia"/>
          <w:kern w:val="0"/>
          <w:sz w:val="22"/>
          <w:szCs w:val="24"/>
        </w:rPr>
        <w:t>．不按时注册者。</w:t>
      </w:r>
      <w:r w:rsidRPr="00FA4B25">
        <w:rPr>
          <w:rFonts w:ascii="Calibri" w:eastAsia="宋体" w:hAnsi="Calibri" w:cs="宋体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第三章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评选程序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第九条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学校在每年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9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月份，根据当年各学院博士生招生数量，同比例下达扬华奖学金的指标名额，用于各学院吸引、表彰下一年度的博士生优质生源。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扬华奖学金每年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9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月初开始申请，符合条件的博士生在网上自行下载申请表格，填写后提交至所在学院奖助工作委员会。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第十一条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各学院根据学校下达的指标数，对符合条件的申请者进行评选，依据其成绩（</w:t>
      </w:r>
      <w:proofErr w:type="gramStart"/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直博生</w:t>
      </w:r>
      <w:proofErr w:type="gramEnd"/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）或学术成果的实际水平，依次确定拟获奖人选和后备人选名单，并在院内公示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5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个工作日后报学校审定。学校研究生奖助工作领导小组对各学院的评选结果进行审定，并在校内公示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5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个工作日。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第十二条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对学校下达的扬华奖学金指标，各学院可根据实际情况，统筹安排用于“直博生”、“硕博连读生”、普通博士生。根据已公布的评选标准，各学院如无符合条件的博士生入选，其扬华奖学金的指标名额应及时退回研究生院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第十三条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扬华奖学金经校院两级公示后，一次性发放奖学金和荣誉证书。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Calibri" w:eastAsia="宋体" w:hAnsi="Calibri" w:cs="宋体"/>
          <w:kern w:val="0"/>
          <w:sz w:val="20"/>
          <w:szCs w:val="21"/>
        </w:rPr>
      </w:pPr>
      <w:r w:rsidRPr="00FA4B25">
        <w:rPr>
          <w:rFonts w:ascii="微软雅黑" w:eastAsia="微软雅黑" w:hAnsi="微软雅黑" w:cs="宋体" w:hint="eastAsia"/>
          <w:b/>
          <w:bCs/>
          <w:kern w:val="0"/>
          <w:sz w:val="22"/>
          <w:szCs w:val="24"/>
        </w:rPr>
        <w:t>第四章 个人申诉</w:t>
      </w:r>
      <w:r w:rsidRPr="00FA4B25">
        <w:rPr>
          <w:rFonts w:ascii="Calibri" w:eastAsia="宋体" w:hAnsi="Calibri" w:cs="宋体"/>
          <w:kern w:val="0"/>
          <w:sz w:val="20"/>
          <w:szCs w:val="21"/>
        </w:rPr>
        <w:t xml:space="preserve"> </w:t>
      </w:r>
    </w:p>
    <w:p w:rsidR="00D97613" w:rsidRPr="00FA4B25" w:rsidRDefault="00D97613" w:rsidP="005A053C">
      <w:pPr>
        <w:widowControl/>
        <w:shd w:val="clear" w:color="auto" w:fill="FFFFFF"/>
        <w:ind w:firstLine="476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第十四条</w:t>
      </w:r>
      <w:r w:rsidRPr="00FA4B25">
        <w:rPr>
          <w:rFonts w:ascii="宋体" w:eastAsia="宋体" w:hAnsi="宋体" w:cs="Times New Roman" w:hint="eastAsia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对扬华奖学金评审结果有异议者，可在学院公示期内，向学院研究生奖助工作委员会提出书面申诉。学院应在接受申诉后2个工作日内做出答复。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5A053C">
      <w:pPr>
        <w:widowControl/>
        <w:shd w:val="clear" w:color="auto" w:fill="FFFFFF"/>
        <w:ind w:firstLine="476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第十五条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 xml:space="preserve"> 研究生及相关人员如对本学院的答复仍有异议，可在校级公示阶段向学校研究生奖助工作领导小组（研究生院综合管理办公室）提出书面申诉。学校审核后提出处理意见，并通知研究生本人及所在学院。此意见即为学校最终处理意见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FA4B25">
      <w:pPr>
        <w:widowControl/>
        <w:shd w:val="clear" w:color="auto" w:fill="FFFFFF"/>
        <w:spacing w:before="100" w:beforeAutospacing="1" w:after="100" w:afterAutospacing="1"/>
        <w:jc w:val="center"/>
        <w:rPr>
          <w:rFonts w:ascii="Calibri" w:eastAsia="宋体" w:hAnsi="Calibri" w:cs="宋体"/>
          <w:kern w:val="0"/>
          <w:sz w:val="20"/>
          <w:szCs w:val="21"/>
        </w:rPr>
      </w:pPr>
      <w:bookmarkStart w:id="1" w:name="_GoBack"/>
      <w:bookmarkEnd w:id="1"/>
      <w:r w:rsidRPr="00FA4B25">
        <w:rPr>
          <w:rFonts w:ascii="微软雅黑" w:eastAsia="微软雅黑" w:hAnsi="微软雅黑" w:cs="宋体" w:hint="eastAsia"/>
          <w:b/>
          <w:bCs/>
          <w:kern w:val="0"/>
          <w:sz w:val="22"/>
          <w:szCs w:val="24"/>
        </w:rPr>
        <w:t>第五章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微软雅黑" w:eastAsia="微软雅黑" w:hAnsi="微软雅黑" w:cs="宋体" w:hint="eastAsia"/>
          <w:b/>
          <w:bCs/>
          <w:kern w:val="0"/>
          <w:sz w:val="22"/>
          <w:szCs w:val="24"/>
        </w:rPr>
        <w:t>附则</w:t>
      </w:r>
      <w:r w:rsidRPr="00FA4B25">
        <w:rPr>
          <w:rFonts w:ascii="Calibri" w:eastAsia="宋体" w:hAnsi="Calibri" w:cs="宋体"/>
          <w:kern w:val="0"/>
          <w:sz w:val="20"/>
          <w:szCs w:val="21"/>
        </w:rPr>
        <w:t xml:space="preserve"> </w:t>
      </w:r>
    </w:p>
    <w:p w:rsidR="005A053C" w:rsidRDefault="00D97613" w:rsidP="005A053C">
      <w:pPr>
        <w:widowControl/>
        <w:shd w:val="clear" w:color="auto" w:fill="FFFFFF"/>
        <w:ind w:firstLine="482"/>
        <w:rPr>
          <w:rFonts w:ascii="Times New Roman" w:eastAsia="宋体" w:hAnsi="Times New Roman" w:cs="Times New Roman" w:hint="eastAsia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第十六条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各学院应根据本办法，制定相应的扬华奖学金评审实施细则，并报学校奖助工作领导小组（研究生院综合管理办公室）备案。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p w:rsidR="00D97613" w:rsidRPr="00FA4B25" w:rsidRDefault="00D97613" w:rsidP="005A053C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Times New Roman" w:eastAsia="宋体" w:hAnsi="Times New Roman" w:cs="Times New Roman"/>
          <w:kern w:val="0"/>
          <w:sz w:val="20"/>
          <w:szCs w:val="21"/>
        </w:rPr>
      </w:pPr>
      <w:r w:rsidRPr="00FA4B25">
        <w:rPr>
          <w:rFonts w:ascii="微软雅黑" w:eastAsia="微软雅黑" w:hAnsi="微软雅黑" w:cs="Times New Roman" w:hint="eastAsia"/>
          <w:b/>
          <w:bCs/>
          <w:kern w:val="0"/>
          <w:sz w:val="22"/>
          <w:szCs w:val="24"/>
        </w:rPr>
        <w:t>第十七条</w:t>
      </w:r>
      <w:r w:rsidRPr="00FA4B25">
        <w:rPr>
          <w:rFonts w:ascii="Times New Roman" w:eastAsia="宋体" w:hAnsi="Times New Roman" w:cs="Times New Roman"/>
          <w:b/>
          <w:bCs/>
          <w:kern w:val="0"/>
          <w:sz w:val="22"/>
          <w:szCs w:val="24"/>
        </w:rPr>
        <w:t xml:space="preserve"> 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本办法从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2014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年</w:t>
      </w:r>
      <w:r w:rsidRPr="00FA4B25">
        <w:rPr>
          <w:rFonts w:ascii="Times New Roman" w:eastAsia="宋体" w:hAnsi="Times New Roman" w:cs="Times New Roman"/>
          <w:kern w:val="0"/>
          <w:sz w:val="22"/>
          <w:szCs w:val="24"/>
        </w:rPr>
        <w:t>9</w:t>
      </w:r>
      <w:r w:rsidRPr="00FA4B25">
        <w:rPr>
          <w:rFonts w:ascii="宋体" w:eastAsia="宋体" w:hAnsi="宋体" w:cs="Times New Roman" w:hint="eastAsia"/>
          <w:kern w:val="0"/>
          <w:sz w:val="22"/>
          <w:szCs w:val="24"/>
        </w:rPr>
        <w:t>月起施行，由研究生院负责解释。</w:t>
      </w:r>
      <w:r w:rsidRPr="00FA4B25">
        <w:rPr>
          <w:rFonts w:ascii="Times New Roman" w:eastAsia="宋体" w:hAnsi="Times New Roman" w:cs="Times New Roman"/>
          <w:kern w:val="0"/>
          <w:sz w:val="20"/>
          <w:szCs w:val="21"/>
        </w:rPr>
        <w:t xml:space="preserve"> </w:t>
      </w:r>
    </w:p>
    <w:sectPr w:rsidR="00D97613" w:rsidRPr="00FA4B25" w:rsidSect="00D97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5A" w:rsidRDefault="000C385A" w:rsidP="00D97613">
      <w:r>
        <w:separator/>
      </w:r>
    </w:p>
  </w:endnote>
  <w:endnote w:type="continuationSeparator" w:id="0">
    <w:p w:rsidR="000C385A" w:rsidRDefault="000C385A" w:rsidP="00D9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FC" w:rsidRDefault="001556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FC" w:rsidRDefault="001556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FC" w:rsidRDefault="001556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5A" w:rsidRDefault="000C385A" w:rsidP="00D97613">
      <w:r>
        <w:separator/>
      </w:r>
    </w:p>
  </w:footnote>
  <w:footnote w:type="continuationSeparator" w:id="0">
    <w:p w:rsidR="000C385A" w:rsidRDefault="000C385A" w:rsidP="00D9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FC" w:rsidRDefault="001556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13" w:rsidRDefault="00D97613" w:rsidP="005A053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FC" w:rsidRDefault="00155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613"/>
    <w:rsid w:val="000C385A"/>
    <w:rsid w:val="001556FC"/>
    <w:rsid w:val="005A053C"/>
    <w:rsid w:val="009B497A"/>
    <w:rsid w:val="00A3404D"/>
    <w:rsid w:val="00D97613"/>
    <w:rsid w:val="00FA4B2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6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26">
                  <w:marLeft w:val="0"/>
                  <w:marRight w:val="0"/>
                  <w:marTop w:val="150"/>
                  <w:marBottom w:val="0"/>
                  <w:divBdr>
                    <w:top w:val="single" w:sz="18" w:space="15" w:color="056295"/>
                    <w:left w:val="single" w:sz="6" w:space="15" w:color="AAAAAA"/>
                    <w:bottom w:val="single" w:sz="6" w:space="15" w:color="AAAAAA"/>
                    <w:right w:val="single" w:sz="6" w:space="15" w:color="AAAAAA"/>
                  </w:divBdr>
                  <w:divsChild>
                    <w:div w:id="2422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8324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2015-08-31T08:52:00Z</cp:lastPrinted>
  <dcterms:created xsi:type="dcterms:W3CDTF">2015-08-31T08:47:00Z</dcterms:created>
  <dcterms:modified xsi:type="dcterms:W3CDTF">2016-06-24T06:17:00Z</dcterms:modified>
</cp:coreProperties>
</file>